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D4" w:rsidRDefault="003F65D4" w:rsidP="003F65D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-GB" w:eastAsia="en-GB"/>
        </w:rPr>
        <w:drawing>
          <wp:inline distT="0" distB="0" distL="0" distR="0">
            <wp:extent cx="591502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D4" w:rsidRDefault="003F65D4" w:rsidP="003F65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Saopštenje za javnost: Održana redovna Skupština akcionara "Luka Kotor" AD</w:t>
      </w:r>
    </w:p>
    <w:p w:rsidR="003F65D4" w:rsidRDefault="003F65D4" w:rsidP="003F65D4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</w:p>
    <w:p w:rsidR="003F65D4" w:rsidRDefault="003F65D4" w:rsidP="003F65D4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 xml:space="preserve">Na redovnoj Skupštini akcionara "Luka Kotor" AD, održanoj 14. juna 2013. godine,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lang w:val="sr-Latn-ME"/>
        </w:rPr>
        <w:t>z prisustvo 91,05% predstavnika ili vlasnika akcija, razmatrano je osam tačaka Dnevnog reda predloženih od strane Odbora direktora.</w:t>
      </w:r>
    </w:p>
    <w:p w:rsidR="003F65D4" w:rsidRDefault="003F65D4" w:rsidP="003F65D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sr-Latn-ME"/>
        </w:rPr>
        <w:t>Skupština je jednoglasno prihvatila Izvještaj o poslovanju Društva i Izvještaj o reviziji finansijskih iskaza za 2012. godinu, u kojima su sadržani podaci o izuzetno vrijednim poslovnim rezultatima.</w:t>
      </w:r>
      <w:r>
        <w:rPr>
          <w:rFonts w:ascii="Calibri" w:hAnsi="Calibri" w:cs="Calibri"/>
        </w:rPr>
        <w:t xml:space="preserve"> </w:t>
      </w:r>
    </w:p>
    <w:p w:rsidR="003F65D4" w:rsidRDefault="003F65D4" w:rsidP="003F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ME"/>
        </w:rPr>
      </w:pPr>
      <w:r>
        <w:rPr>
          <w:rFonts w:ascii="Calibri" w:hAnsi="Calibri" w:cs="Calibri"/>
        </w:rPr>
        <w:t xml:space="preserve">U </w:t>
      </w:r>
      <w:proofErr w:type="spellStart"/>
      <w:r>
        <w:rPr>
          <w:rFonts w:ascii="Calibri" w:hAnsi="Calibri" w:cs="Calibri"/>
        </w:rPr>
        <w:t>pr</w:t>
      </w:r>
      <w:proofErr w:type="spellEnd"/>
      <w:r>
        <w:rPr>
          <w:rFonts w:ascii="Calibri" w:hAnsi="Calibri" w:cs="Calibri"/>
          <w:lang w:val="sr-Latn-ME"/>
        </w:rPr>
        <w:t>ethodnoj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ostvaren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proofErr w:type="gramStart"/>
      <w:r>
        <w:rPr>
          <w:rFonts w:ascii="Calibri" w:hAnsi="Calibri" w:cs="Calibri"/>
        </w:rPr>
        <w:t>novi</w:t>
      </w:r>
      <w:proofErr w:type="spellEnd"/>
      <w:proofErr w:type="gramEnd"/>
      <w:r>
        <w:rPr>
          <w:rFonts w:ascii="Calibri" w:hAnsi="Calibri" w:cs="Calibri"/>
          <w:lang w:val="sr-Latn-ME"/>
        </w:rPr>
        <w:t xml:space="preserve"> </w:t>
      </w:r>
      <w:proofErr w:type="spellStart"/>
      <w:r>
        <w:rPr>
          <w:rFonts w:ascii="Calibri" w:hAnsi="Calibri" w:cs="Calibri"/>
        </w:rPr>
        <w:t>poslovni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rekord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ukupan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pove</w:t>
      </w:r>
      <w:proofErr w:type="spellEnd"/>
      <w:r>
        <w:rPr>
          <w:rFonts w:ascii="Calibri" w:hAnsi="Calibri" w:cs="Calibri"/>
          <w:lang w:val="sr-Latn-ME"/>
        </w:rPr>
        <w:t>ć</w:t>
      </w:r>
      <w:r>
        <w:rPr>
          <w:rFonts w:ascii="Calibri" w:hAnsi="Calibri" w:cs="Calibri"/>
        </w:rPr>
        <w:t>an je u</w:t>
      </w:r>
      <w:r>
        <w:rPr>
          <w:rFonts w:ascii="Calibri" w:hAnsi="Calibri" w:cs="Calibri"/>
          <w:lang w:val="sr-Latn-ME"/>
        </w:rPr>
        <w:t xml:space="preserve"> </w:t>
      </w:r>
      <w:proofErr w:type="spellStart"/>
      <w:r>
        <w:rPr>
          <w:rFonts w:ascii="Calibri" w:hAnsi="Calibri" w:cs="Calibri"/>
        </w:rPr>
        <w:t>odnosu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2011. </w:t>
      </w:r>
      <w:proofErr w:type="spellStart"/>
      <w:proofErr w:type="gramStart"/>
      <w:r>
        <w:rPr>
          <w:rFonts w:ascii="Calibri" w:hAnsi="Calibri" w:cs="Calibri"/>
        </w:rPr>
        <w:t>godinu</w:t>
      </w:r>
      <w:proofErr w:type="spellEnd"/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29,51%, </w:t>
      </w:r>
      <w:proofErr w:type="spellStart"/>
      <w:r>
        <w:rPr>
          <w:rFonts w:ascii="Calibri" w:hAnsi="Calibri" w:cs="Calibri"/>
          <w:bCs/>
        </w:rPr>
        <w:t>tako</w:t>
      </w:r>
      <w:proofErr w:type="spellEnd"/>
      <w:r>
        <w:rPr>
          <w:rFonts w:ascii="Calibri" w:hAnsi="Calibri" w:cs="Calibri"/>
          <w:bCs/>
        </w:rPr>
        <w:t xml:space="preserve"> da je </w:t>
      </w:r>
      <w:proofErr w:type="spellStart"/>
      <w:r>
        <w:rPr>
          <w:rFonts w:ascii="Calibri" w:hAnsi="Calibri" w:cs="Calibri"/>
        </w:rPr>
        <w:t>dostigao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iznos</w:t>
      </w:r>
      <w:proofErr w:type="spellEnd"/>
      <w:r>
        <w:rPr>
          <w:rFonts w:ascii="Calibri" w:hAnsi="Calibri" w:cs="Calibri"/>
        </w:rPr>
        <w:t xml:space="preserve"> od </w:t>
      </w:r>
      <w:r>
        <w:rPr>
          <w:rFonts w:ascii="Calibri" w:hAnsi="Calibri" w:cs="Calibri"/>
          <w:b/>
          <w:bCs/>
        </w:rPr>
        <w:t xml:space="preserve">2.466.726 </w:t>
      </w:r>
      <w:proofErr w:type="spellStart"/>
      <w:r>
        <w:rPr>
          <w:rFonts w:ascii="Calibri" w:hAnsi="Calibri" w:cs="Calibri"/>
        </w:rPr>
        <w:t>eura</w:t>
      </w:r>
      <w:proofErr w:type="spellEnd"/>
      <w:r>
        <w:rPr>
          <w:rFonts w:ascii="Calibri" w:hAnsi="Calibri" w:cs="Calibri"/>
          <w:b/>
          <w:bCs/>
        </w:rPr>
        <w:t xml:space="preserve">. </w:t>
      </w:r>
      <w:proofErr w:type="spellStart"/>
      <w:r>
        <w:rPr>
          <w:rFonts w:ascii="Calibri" w:hAnsi="Calibri" w:cs="Calibri"/>
        </w:rPr>
        <w:t>Bruto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dobit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uve</w:t>
      </w:r>
      <w:proofErr w:type="spellEnd"/>
      <w:r>
        <w:rPr>
          <w:rFonts w:ascii="Calibri" w:hAnsi="Calibri" w:cs="Calibri"/>
          <w:lang w:val="sr-Latn-ME"/>
        </w:rPr>
        <w:t>ć</w:t>
      </w:r>
      <w:proofErr w:type="spellStart"/>
      <w:r>
        <w:rPr>
          <w:rFonts w:ascii="Calibri" w:hAnsi="Calibri" w:cs="Calibri"/>
        </w:rPr>
        <w:t>ana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41</w:t>
      </w:r>
      <w:proofErr w:type="gramStart"/>
      <w:r>
        <w:rPr>
          <w:rFonts w:ascii="Calibri" w:hAnsi="Calibri" w:cs="Calibri"/>
          <w:b/>
          <w:bCs/>
        </w:rPr>
        <w:t>,36</w:t>
      </w:r>
      <w:proofErr w:type="gramEnd"/>
      <w:r>
        <w:rPr>
          <w:rFonts w:ascii="Calibri" w:hAnsi="Calibri" w:cs="Calibri"/>
          <w:b/>
          <w:bCs/>
        </w:rPr>
        <w:t xml:space="preserve">%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  <w:lang w:val="sr-Latn-ME"/>
        </w:rPr>
        <w:t xml:space="preserve"> </w:t>
      </w:r>
      <w:proofErr w:type="spellStart"/>
      <w:r>
        <w:rPr>
          <w:rFonts w:ascii="Calibri" w:hAnsi="Calibri" w:cs="Calibri"/>
        </w:rPr>
        <w:t>iznosi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973.437 </w:t>
      </w:r>
      <w:proofErr w:type="spellStart"/>
      <w:r>
        <w:rPr>
          <w:rFonts w:ascii="Calibri" w:hAnsi="Calibri" w:cs="Calibri"/>
        </w:rPr>
        <w:t>eura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lang w:val="sr-Latn-ME"/>
        </w:rPr>
        <w:t xml:space="preserve"> Ukupni troškovi iznosili su </w:t>
      </w:r>
      <w:r>
        <w:rPr>
          <w:rFonts w:ascii="Calibri" w:hAnsi="Calibri" w:cs="Calibri"/>
          <w:b/>
          <w:bCs/>
          <w:lang w:val="sr-Latn-ME"/>
        </w:rPr>
        <w:t xml:space="preserve">1.493.292 </w:t>
      </w:r>
      <w:r>
        <w:rPr>
          <w:rFonts w:ascii="Calibri" w:hAnsi="Calibri" w:cs="Calibri"/>
          <w:lang w:val="sr-Latn-ME"/>
        </w:rPr>
        <w:t xml:space="preserve">eura, odnosno </w:t>
      </w:r>
      <w:r>
        <w:rPr>
          <w:rFonts w:ascii="Calibri" w:hAnsi="Calibri" w:cs="Calibri"/>
          <w:b/>
          <w:bCs/>
          <w:lang w:val="sr-Latn-ME"/>
        </w:rPr>
        <w:t>22,87%.</w:t>
      </w:r>
    </w:p>
    <w:p w:rsidR="003F65D4" w:rsidRDefault="003F65D4" w:rsidP="003F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ME"/>
        </w:rPr>
      </w:pPr>
    </w:p>
    <w:p w:rsidR="003F65D4" w:rsidRDefault="003F65D4" w:rsidP="003F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sr-Latn-ME"/>
        </w:rPr>
      </w:pPr>
      <w:r>
        <w:rPr>
          <w:rFonts w:ascii="Calibri" w:hAnsi="Calibri" w:cs="Calibri"/>
          <w:lang w:val="sr-Latn-ME"/>
        </w:rPr>
        <w:t>Ukupan broj dolazaka brodova tokom 2012. godine iznosio je</w:t>
      </w:r>
      <w:r>
        <w:rPr>
          <w:rFonts w:ascii="Calibri" w:hAnsi="Calibri" w:cs="Calibri"/>
          <w:b/>
          <w:bCs/>
          <w:lang w:val="sr-Latn-ME"/>
        </w:rPr>
        <w:t xml:space="preserve"> 343</w:t>
      </w:r>
      <w:r>
        <w:rPr>
          <w:rFonts w:ascii="Calibri" w:hAnsi="Calibri" w:cs="Calibri"/>
          <w:lang w:val="sr-Latn-ME"/>
        </w:rPr>
        <w:t xml:space="preserve">, što je za </w:t>
      </w:r>
      <w:r>
        <w:rPr>
          <w:rFonts w:ascii="Calibri" w:hAnsi="Calibri" w:cs="Calibri"/>
          <w:b/>
          <w:bCs/>
          <w:lang w:val="sr-Latn-ME"/>
        </w:rPr>
        <w:t>8,20</w:t>
      </w:r>
      <w:r>
        <w:rPr>
          <w:rFonts w:ascii="Calibri" w:hAnsi="Calibri" w:cs="Calibri"/>
          <w:b/>
          <w:bCs/>
        </w:rPr>
        <w:t>%</w:t>
      </w:r>
      <w:r>
        <w:rPr>
          <w:rFonts w:ascii="Calibri" w:hAnsi="Calibri" w:cs="Calibri"/>
          <w:b/>
          <w:bCs/>
          <w:lang w:val="sr-Latn-ME"/>
        </w:rPr>
        <w:t xml:space="preserve"> </w:t>
      </w:r>
      <w:r>
        <w:rPr>
          <w:rFonts w:ascii="Calibri" w:hAnsi="Calibri" w:cs="Calibri"/>
          <w:lang w:val="sr-Latn-ME"/>
        </w:rPr>
        <w:t xml:space="preserve">više u odnosu na prethodnu, dok je broj dolazaka jahti bio </w:t>
      </w:r>
      <w:r>
        <w:rPr>
          <w:rFonts w:ascii="Calibri" w:hAnsi="Calibri" w:cs="Calibri"/>
          <w:b/>
          <w:bCs/>
          <w:lang w:val="sr-Latn-ME"/>
        </w:rPr>
        <w:t>1 454</w:t>
      </w:r>
      <w:r>
        <w:rPr>
          <w:rFonts w:ascii="Calibri" w:hAnsi="Calibri" w:cs="Calibri"/>
          <w:lang w:val="sr-Latn-ME"/>
        </w:rPr>
        <w:t xml:space="preserve">, što predstavlja uvećanje od </w:t>
      </w:r>
      <w:r>
        <w:rPr>
          <w:rFonts w:ascii="Calibri" w:hAnsi="Calibri" w:cs="Calibri"/>
          <w:b/>
          <w:bCs/>
          <w:lang w:val="sr-Latn-ME"/>
        </w:rPr>
        <w:t>18,79</w:t>
      </w:r>
      <w:r>
        <w:rPr>
          <w:rFonts w:ascii="Calibri" w:hAnsi="Calibri" w:cs="Calibri"/>
          <w:b/>
          <w:bCs/>
        </w:rPr>
        <w:t>%</w:t>
      </w:r>
      <w:r>
        <w:rPr>
          <w:rFonts w:ascii="Calibri" w:hAnsi="Calibri" w:cs="Calibri"/>
          <w:b/>
          <w:bCs/>
          <w:lang w:val="sr-Latn-ME"/>
        </w:rPr>
        <w:t xml:space="preserve">. </w:t>
      </w:r>
      <w:r>
        <w:rPr>
          <w:rFonts w:ascii="Calibri" w:hAnsi="Calibri" w:cs="Calibri"/>
          <w:lang w:val="sr-Latn-ME"/>
        </w:rPr>
        <w:t xml:space="preserve">Broj putnika iznosio je </w:t>
      </w:r>
      <w:r>
        <w:rPr>
          <w:rFonts w:ascii="Calibri" w:hAnsi="Calibri" w:cs="Calibri"/>
          <w:b/>
          <w:bCs/>
          <w:lang w:val="sr-Latn-ME"/>
        </w:rPr>
        <w:t>251 042</w:t>
      </w:r>
      <w:r>
        <w:rPr>
          <w:rFonts w:ascii="Calibri" w:hAnsi="Calibri" w:cs="Calibri"/>
          <w:lang w:val="sr-Latn-ME"/>
        </w:rPr>
        <w:t xml:space="preserve">, što je takođe uvećanje u odnosu na prethodnu za </w:t>
      </w:r>
      <w:r>
        <w:rPr>
          <w:rFonts w:ascii="Calibri" w:hAnsi="Calibri" w:cs="Calibri"/>
          <w:b/>
          <w:bCs/>
          <w:lang w:val="sr-Latn-ME"/>
        </w:rPr>
        <w:t>28,63</w:t>
      </w:r>
      <w:r>
        <w:rPr>
          <w:rFonts w:ascii="Calibri" w:hAnsi="Calibri" w:cs="Calibri"/>
          <w:b/>
          <w:bCs/>
        </w:rPr>
        <w:t>%</w:t>
      </w:r>
      <w:r>
        <w:rPr>
          <w:rFonts w:ascii="Calibri" w:hAnsi="Calibri" w:cs="Calibri"/>
          <w:b/>
          <w:bCs/>
          <w:lang w:val="sr-Latn-ME"/>
        </w:rPr>
        <w:t>.</w:t>
      </w:r>
    </w:p>
    <w:p w:rsidR="003F65D4" w:rsidRDefault="003F65D4" w:rsidP="003F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sr-Latn-ME"/>
        </w:rPr>
      </w:pPr>
    </w:p>
    <w:p w:rsidR="003F65D4" w:rsidRDefault="003F65D4" w:rsidP="003F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 xml:space="preserve">U prethodnoj godini ostvarena je dobit u bruto iznosu od </w:t>
      </w:r>
      <w:r>
        <w:rPr>
          <w:rFonts w:ascii="Calibri" w:hAnsi="Calibri" w:cs="Calibri"/>
          <w:b/>
          <w:bCs/>
          <w:lang w:val="sr-Latn-ME"/>
        </w:rPr>
        <w:t>973.437</w:t>
      </w:r>
      <w:r>
        <w:rPr>
          <w:rFonts w:ascii="Calibri" w:hAnsi="Calibri" w:cs="Calibri"/>
          <w:lang w:val="sr-Latn-ME"/>
        </w:rPr>
        <w:t xml:space="preserve"> eura, a po umanjenju za zakonske obaveze neto dobit iznosi </w:t>
      </w:r>
      <w:r>
        <w:rPr>
          <w:rFonts w:ascii="Calibri" w:hAnsi="Calibri" w:cs="Calibri"/>
          <w:b/>
          <w:bCs/>
          <w:lang w:val="sr-Latn-ME"/>
        </w:rPr>
        <w:t xml:space="preserve">882.984 </w:t>
      </w:r>
      <w:r>
        <w:rPr>
          <w:rFonts w:ascii="Calibri" w:hAnsi="Calibri" w:cs="Calibri"/>
          <w:lang w:val="sr-Latn-ME"/>
        </w:rPr>
        <w:t xml:space="preserve">eura. Skupština je na prijedlog Odbora direktora jednoglasno odlučila da se akcionarima dobit od </w:t>
      </w:r>
      <w:r>
        <w:rPr>
          <w:rFonts w:ascii="Calibri" w:hAnsi="Calibri" w:cs="Calibri"/>
          <w:b/>
          <w:bCs/>
          <w:lang w:val="sr-Latn-ME"/>
        </w:rPr>
        <w:t>772.446</w:t>
      </w:r>
      <w:r>
        <w:rPr>
          <w:rFonts w:ascii="Calibri" w:hAnsi="Calibri" w:cs="Calibri"/>
          <w:lang w:val="sr-Latn-ME"/>
        </w:rPr>
        <w:t xml:space="preserve"> eura ili 87,48% raspodijeli kao dividenda u obliku akcija, a </w:t>
      </w:r>
      <w:r>
        <w:rPr>
          <w:rFonts w:ascii="Calibri" w:hAnsi="Calibri" w:cs="Calibri"/>
          <w:b/>
          <w:bCs/>
          <w:lang w:val="sr-Latn-ME"/>
        </w:rPr>
        <w:t>110.538 eura</w:t>
      </w:r>
      <w:r>
        <w:rPr>
          <w:rFonts w:ascii="Calibri" w:hAnsi="Calibri" w:cs="Calibri"/>
          <w:lang w:val="sr-Latn-ME"/>
        </w:rPr>
        <w:t xml:space="preserve"> ili </w:t>
      </w:r>
      <w:r>
        <w:rPr>
          <w:rFonts w:ascii="Calibri" w:hAnsi="Calibri" w:cs="Calibri"/>
          <w:b/>
          <w:bCs/>
          <w:lang w:val="sr-Latn-ME"/>
        </w:rPr>
        <w:t xml:space="preserve">12,52% </w:t>
      </w:r>
      <w:r>
        <w:rPr>
          <w:rFonts w:ascii="Calibri" w:hAnsi="Calibri" w:cs="Calibri"/>
          <w:lang w:val="sr-Latn-ME"/>
        </w:rPr>
        <w:t>kao dividenda u novčanom iznosu. Odluka je zasnovana na potrebi da se ovogodišnji neto profit usmjeri prvenstveno u povećanje akcijskog kapitala, kao i da se zadrži kontinuitet u isplati dividende u novčanim iznosima.</w:t>
      </w:r>
    </w:p>
    <w:p w:rsidR="003F65D4" w:rsidRDefault="003F65D4" w:rsidP="003F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ME"/>
        </w:rPr>
      </w:pPr>
    </w:p>
    <w:p w:rsidR="003F65D4" w:rsidRDefault="003F65D4" w:rsidP="003F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 xml:space="preserve">Akcionari su odlučili da se članstvo u Odboru direktora povjeri </w:t>
      </w:r>
      <w:r>
        <w:rPr>
          <w:rFonts w:ascii="Calibri" w:hAnsi="Calibri" w:cs="Calibri"/>
          <w:b/>
          <w:bCs/>
          <w:lang w:val="sr-Latn-ME"/>
        </w:rPr>
        <w:t>Borislavu Kašćelanu</w:t>
      </w:r>
      <w:r>
        <w:rPr>
          <w:rFonts w:ascii="Calibri" w:hAnsi="Calibri" w:cs="Calibri"/>
          <w:lang w:val="sr-Latn-ME"/>
        </w:rPr>
        <w:t>,</w:t>
      </w:r>
      <w:r>
        <w:rPr>
          <w:rFonts w:ascii="Calibri" w:hAnsi="Calibri" w:cs="Calibri"/>
          <w:b/>
          <w:bCs/>
          <w:lang w:val="sr-Latn-ME"/>
        </w:rPr>
        <w:t xml:space="preserve"> dr Nikoli Konjeviću</w:t>
      </w:r>
      <w:r>
        <w:rPr>
          <w:rFonts w:ascii="Calibri" w:hAnsi="Calibri" w:cs="Calibri"/>
          <w:lang w:val="sr-Latn-ME"/>
        </w:rPr>
        <w:t xml:space="preserve">, </w:t>
      </w:r>
      <w:r>
        <w:rPr>
          <w:rFonts w:ascii="Calibri" w:hAnsi="Calibri" w:cs="Calibri"/>
          <w:b/>
          <w:bCs/>
          <w:lang w:val="sr-Latn-ME"/>
        </w:rPr>
        <w:t>dr Nikoli Dragomanoviću</w:t>
      </w:r>
      <w:r>
        <w:rPr>
          <w:rFonts w:ascii="Calibri" w:hAnsi="Calibri" w:cs="Calibri"/>
          <w:lang w:val="sr-Latn-ME"/>
        </w:rPr>
        <w:t xml:space="preserve">, </w:t>
      </w:r>
      <w:r>
        <w:rPr>
          <w:rFonts w:ascii="Calibri" w:hAnsi="Calibri" w:cs="Calibri"/>
          <w:b/>
          <w:bCs/>
          <w:lang w:val="sr-Latn-ME"/>
        </w:rPr>
        <w:t xml:space="preserve">dr Editi Starović </w:t>
      </w:r>
      <w:r>
        <w:rPr>
          <w:rFonts w:ascii="Calibri" w:hAnsi="Calibri" w:cs="Calibri"/>
          <w:lang w:val="sr-Latn-ME"/>
        </w:rPr>
        <w:t xml:space="preserve">i </w:t>
      </w:r>
      <w:r>
        <w:rPr>
          <w:rFonts w:ascii="Calibri" w:hAnsi="Calibri" w:cs="Calibri"/>
          <w:b/>
          <w:bCs/>
          <w:lang w:val="sr-Latn-ME"/>
        </w:rPr>
        <w:t>Vasiliju Vidoviću</w:t>
      </w:r>
      <w:r>
        <w:rPr>
          <w:rFonts w:ascii="Calibri" w:hAnsi="Calibri" w:cs="Calibri"/>
          <w:lang w:val="sr-Latn-ME"/>
        </w:rPr>
        <w:t>, koji su u ranijem periodu uspješno rukovodili kompanijom.</w:t>
      </w:r>
    </w:p>
    <w:p w:rsidR="003F65D4" w:rsidRDefault="003F65D4" w:rsidP="003F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ME"/>
        </w:rPr>
      </w:pPr>
    </w:p>
    <w:p w:rsidR="003F65D4" w:rsidRDefault="003F65D4" w:rsidP="003F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Na Skupštini su najavljenje buduće investicione aktivnosti, prvenstveno izgradnja putničkog terminala.</w:t>
      </w:r>
    </w:p>
    <w:p w:rsidR="003F65D4" w:rsidRDefault="003F65D4" w:rsidP="003F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ME"/>
        </w:rPr>
      </w:pPr>
    </w:p>
    <w:p w:rsidR="003F65D4" w:rsidRDefault="003F65D4" w:rsidP="003F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ME"/>
        </w:rPr>
      </w:pPr>
    </w:p>
    <w:p w:rsidR="003F65D4" w:rsidRDefault="003F65D4" w:rsidP="003F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ME"/>
        </w:rPr>
      </w:pPr>
    </w:p>
    <w:p w:rsidR="0039323F" w:rsidRDefault="003F65D4" w:rsidP="003F65D4">
      <w:r>
        <w:rPr>
          <w:rFonts w:ascii="Calibri" w:hAnsi="Calibri" w:cs="Calibri"/>
          <w:lang w:val="sr-Latn-ME"/>
        </w:rPr>
        <w:t xml:space="preserve">Kotor, 14.06.2013.                                               Info tim </w:t>
      </w:r>
      <w:r w:rsidRPr="00FA2EB3">
        <w:rPr>
          <w:rFonts w:ascii="Calibri" w:hAnsi="Calibri" w:cs="Calibri"/>
          <w:bCs/>
          <w:lang w:val="sr-Latn-ME"/>
        </w:rPr>
        <w:t>"Luka Kotor" AD</w:t>
      </w:r>
      <w:bookmarkStart w:id="0" w:name="_GoBack"/>
      <w:bookmarkEnd w:id="0"/>
    </w:p>
    <w:sectPr w:rsidR="00393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B5"/>
    <w:rsid w:val="0039323F"/>
    <w:rsid w:val="003F65D4"/>
    <w:rsid w:val="00B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D4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D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D4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D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LKotor</dc:creator>
  <cp:keywords/>
  <dc:description/>
  <cp:lastModifiedBy>LKotor</cp:lastModifiedBy>
  <cp:revision>3</cp:revision>
  <dcterms:created xsi:type="dcterms:W3CDTF">2013-06-15T19:08:00Z</dcterms:created>
  <dcterms:modified xsi:type="dcterms:W3CDTF">2013-06-15T19:08:00Z</dcterms:modified>
</cp:coreProperties>
</file>